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81" w:rsidRDefault="000C2681"/>
    <w:p w:rsidR="00491B48" w:rsidRPr="00E60A8F" w:rsidRDefault="00491B48" w:rsidP="00491B48">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38.1.9-i</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INCENDIO</w:t>
      </w:r>
    </w:p>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CB40A9">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B40A9"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4306F" w:rsidRPr="004B3FCA" w:rsidRDefault="0064306F"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Incendio está conformado por tres archivos de texto a nivel póliza: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Solo se reportarán en este archivo los siniestros improcedentes por los cuales se haya erogado gastos de ajuste o exista saldo en el monto del siniestro por diferencia en el tipo de cambio.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9646FB">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B40A9"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73195E">
        <w:rPr>
          <w:rFonts w:ascii="Georgia" w:hAnsi="Georgia" w:cs="Georgia"/>
          <w:sz w:val="20"/>
          <w:szCs w:val="20"/>
        </w:rPr>
        <w:t>L</w:t>
      </w:r>
      <w:r w:rsidRPr="004B3FCA">
        <w:rPr>
          <w:rFonts w:ascii="Georgia" w:hAnsi="Georgia" w:cs="Georgia"/>
          <w:sz w:val="20"/>
          <w:szCs w:val="20"/>
        </w:rPr>
        <w:t xml:space="preserve">as variables </w:t>
      </w:r>
      <w:r w:rsidR="0073195E">
        <w:rPr>
          <w:rFonts w:ascii="Georgia" w:hAnsi="Georgia" w:cs="Georgia"/>
          <w:sz w:val="20"/>
          <w:szCs w:val="20"/>
        </w:rPr>
        <w:t>prima emitida, prima retenida, prima devengada y todas las variables numérica</w:t>
      </w:r>
      <w:r w:rsidR="004D5C35">
        <w:rPr>
          <w:rFonts w:ascii="Georgia" w:hAnsi="Georgia" w:cs="Georgia"/>
          <w:sz w:val="20"/>
          <w:szCs w:val="20"/>
        </w:rPr>
        <w:t>s</w:t>
      </w:r>
      <w:r w:rsidR="0073195E">
        <w:rPr>
          <w:rFonts w:ascii="Georgia" w:hAnsi="Georgia" w:cs="Georgia"/>
          <w:sz w:val="20"/>
          <w:szCs w:val="20"/>
        </w:rPr>
        <w:t xml:space="preserve"> de la tabla de siniestros a excepción de ubicación, </w:t>
      </w:r>
      <w:r w:rsidRPr="004B3FCA">
        <w:rPr>
          <w:rFonts w:ascii="Georgia" w:hAnsi="Georgia" w:cs="Georgia"/>
          <w:sz w:val="20"/>
          <w:szCs w:val="20"/>
        </w:rPr>
        <w:t xml:space="preserve">se deben reportar </w:t>
      </w:r>
      <w:r w:rsidR="0073195E">
        <w:rPr>
          <w:rFonts w:ascii="Georgia" w:hAnsi="Georgia" w:cs="Georgia"/>
          <w:sz w:val="20"/>
          <w:szCs w:val="20"/>
        </w:rPr>
        <w:t>con 2</w:t>
      </w:r>
      <w:r w:rsidRPr="004B3FCA">
        <w:rPr>
          <w:rFonts w:ascii="Georgia" w:hAnsi="Georgia" w:cs="Georgia"/>
          <w:sz w:val="20"/>
          <w:szCs w:val="20"/>
        </w:rPr>
        <w:t xml:space="preserve"> decimales.</w:t>
      </w:r>
    </w:p>
    <w:p w:rsidR="007517AC" w:rsidRDefault="007517AC" w:rsidP="00CB40A9">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r>
      <w:r w:rsidR="00DF2AD1">
        <w:rPr>
          <w:rFonts w:ascii="Georgia" w:hAnsi="Georgia" w:cs="Georgia"/>
          <w:sz w:val="20"/>
          <w:szCs w:val="20"/>
        </w:rPr>
        <w:t xml:space="preserve">Para los campos que se llenan con catálogos, la institución deberá verificar si la información reportada  se puede clasificar dentro de alguna de las opciones específicas. Las instituciones </w:t>
      </w:r>
      <w:r w:rsidR="009646FB">
        <w:rPr>
          <w:rFonts w:ascii="Georgia" w:hAnsi="Georgia" w:cs="Georgia"/>
          <w:sz w:val="20"/>
          <w:szCs w:val="20"/>
        </w:rPr>
        <w:t>que utilicen</w:t>
      </w:r>
      <w:r w:rsidR="00DF2AD1">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853"/>
        <w:gridCol w:w="3885"/>
        <w:gridCol w:w="1467"/>
        <w:gridCol w:w="991"/>
        <w:gridCol w:w="1579"/>
        <w:gridCol w:w="9"/>
      </w:tblGrid>
      <w:tr w:rsidR="00CB40A9" w:rsidRPr="004B3FCA" w:rsidTr="00C82C78">
        <w:trPr>
          <w:trHeight w:val="144"/>
        </w:trPr>
        <w:tc>
          <w:tcPr>
            <w:tcW w:w="8784" w:type="dxa"/>
            <w:gridSpan w:val="6"/>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1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8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67"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991"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579" w:type="dxa"/>
            <w:tcBorders>
              <w:top w:val="single" w:sz="6" w:space="0" w:color="auto"/>
              <w:left w:val="single" w:sz="6" w:space="0" w:color="auto"/>
              <w:bottom w:val="single" w:sz="6" w:space="0" w:color="auto"/>
              <w:right w:val="double" w:sz="6" w:space="0" w:color="auto"/>
            </w:tcBorders>
            <w:vAlign w:val="center"/>
          </w:tcPr>
          <w:p w:rsidR="00CB40A9" w:rsidRPr="004B3FCA" w:rsidRDefault="00CB40A9" w:rsidP="00615E69">
            <w:pPr>
              <w:pStyle w:val="Texto"/>
              <w:spacing w:after="10" w:line="240" w:lineRule="auto"/>
              <w:ind w:firstLine="0"/>
              <w:jc w:val="center"/>
              <w:rPr>
                <w:rFonts w:ascii="Georgia" w:hAnsi="Georgia" w:cs="Georgia"/>
                <w:sz w:val="20"/>
                <w:szCs w:val="20"/>
              </w:rPr>
            </w:pPr>
            <w:r w:rsidRPr="004B3FCA">
              <w:rPr>
                <w:rFonts w:ascii="Georgia" w:hAnsi="Georgia" w:cs="Georgia"/>
                <w:sz w:val="20"/>
                <w:szCs w:val="20"/>
              </w:rPr>
              <w:t>Catálogo</w:t>
            </w:r>
            <w:r w:rsidRPr="004B3FCA">
              <w:rPr>
                <w:rStyle w:val="Refdenotaalpie"/>
                <w:rFonts w:ascii="Georgia" w:hAnsi="Georgia" w:cs="Georgia"/>
                <w:sz w:val="20"/>
                <w:szCs w:val="20"/>
              </w:rPr>
              <w:footnoteReference w:customMarkFollows="1" w:id="1"/>
              <w:t>*</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601573" w:rsidP="00601573">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 xml:space="preserve">Tipo de </w:t>
            </w:r>
            <w:r w:rsidR="00CB40A9" w:rsidRPr="004B3FCA">
              <w:rPr>
                <w:rFonts w:ascii="Georgia" w:hAnsi="Georgia" w:cs="Georgia"/>
                <w:b/>
                <w:bCs/>
                <w:sz w:val="20"/>
                <w:szCs w:val="20"/>
              </w:rPr>
              <w:t>póliza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F140F4" w:rsidP="00615E69">
            <w:pPr>
              <w:pStyle w:val="Texto"/>
              <w:spacing w:before="20" w:after="1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73195E"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09669B">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Entidad/Municipio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5</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existencias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130</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L</w:t>
            </w:r>
            <w:r w:rsidR="00403FD2">
              <w:rPr>
                <w:rFonts w:ascii="Georgia" w:hAnsi="Georgia" w:cs="Georgia"/>
                <w:b/>
                <w:bCs/>
                <w:sz w:val="20"/>
                <w:szCs w:val="20"/>
              </w:rPr>
              <w:t>í</w:t>
            </w:r>
            <w:r w:rsidRPr="004B3FCA">
              <w:rPr>
                <w:rFonts w:ascii="Georgia" w:hAnsi="Georgia" w:cs="Georgia"/>
                <w:b/>
                <w:bCs/>
                <w:sz w:val="20"/>
                <w:szCs w:val="20"/>
              </w:rPr>
              <w:t>mite máximo de responsabilidad</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20.1</w:t>
            </w:r>
          </w:p>
        </w:tc>
      </w:tr>
      <w:tr w:rsidR="00CB40A9" w:rsidRPr="004B3FCA" w:rsidTr="00C82C78">
        <w:trPr>
          <w:gridAfter w:val="1"/>
          <w:wAfter w:w="9" w:type="dxa"/>
          <w:trHeight w:val="144"/>
        </w:trPr>
        <w:tc>
          <w:tcPr>
            <w:tcW w:w="853" w:type="dxa"/>
            <w:tcBorders>
              <w:top w:val="single" w:sz="6" w:space="0" w:color="auto"/>
              <w:left w:val="double" w:sz="6" w:space="0" w:color="auto"/>
              <w:bottom w:val="doub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lastRenderedPageBreak/>
              <w:t>28</w:t>
            </w:r>
          </w:p>
        </w:tc>
        <w:tc>
          <w:tcPr>
            <w:tcW w:w="3885" w:type="dxa"/>
            <w:tcBorders>
              <w:top w:val="single" w:sz="6" w:space="0" w:color="auto"/>
              <w:left w:val="single" w:sz="6" w:space="0" w:color="auto"/>
              <w:bottom w:val="double" w:sz="6" w:space="0" w:color="auto"/>
              <w:right w:val="single" w:sz="6" w:space="0" w:color="auto"/>
            </w:tcBorders>
          </w:tcPr>
          <w:p w:rsidR="00CB40A9" w:rsidRPr="004B3FCA" w:rsidRDefault="00F140F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Tipo de pago</w:t>
            </w:r>
          </w:p>
        </w:tc>
        <w:tc>
          <w:tcPr>
            <w:tcW w:w="1467"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B40A9"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85"/>
        <w:gridCol w:w="3903"/>
        <w:gridCol w:w="1440"/>
        <w:gridCol w:w="1024"/>
        <w:gridCol w:w="1496"/>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Catálogo*</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17.5</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doub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03"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496"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bl>
    <w:p w:rsidR="00CB40A9" w:rsidRPr="004B3FCA"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67"/>
        <w:gridCol w:w="3855"/>
        <w:gridCol w:w="1433"/>
        <w:gridCol w:w="973"/>
        <w:gridCol w:w="1620"/>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5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9C7599">
              <w:rPr>
                <w:rFonts w:ascii="Georgia" w:hAnsi="Georgia" w:cs="Georgia"/>
                <w:b/>
                <w:bCs/>
                <w:sz w:val="20"/>
                <w:szCs w:val="20"/>
              </w:rPr>
              <w:t xml:space="preserve">del </w:t>
            </w:r>
            <w:r w:rsidRPr="004B3FCA">
              <w:rPr>
                <w:rFonts w:ascii="Georgia" w:hAnsi="Georgia" w:cs="Georgia"/>
                <w:b/>
                <w:bCs/>
                <w:sz w:val="20"/>
                <w:szCs w:val="20"/>
              </w:rPr>
              <w:t>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0</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81631C" w:rsidP="00615E69">
            <w:pPr>
              <w:pStyle w:val="Texto"/>
              <w:spacing w:before="20" w:after="20" w:line="240" w:lineRule="auto"/>
              <w:ind w:firstLine="0"/>
              <w:rPr>
                <w:rFonts w:ascii="Georgia" w:hAnsi="Georgia" w:cs="Georgia"/>
                <w:b/>
                <w:bCs/>
                <w:sz w:val="20"/>
                <w:szCs w:val="20"/>
              </w:rPr>
            </w:pPr>
            <w:r w:rsidRPr="0081631C">
              <w:rPr>
                <w:rFonts w:ascii="Georgia" w:hAnsi="Georgia" w:cs="Georgia"/>
                <w:b/>
                <w:bCs/>
                <w:sz w:val="20"/>
                <w:szCs w:val="20"/>
              </w:rPr>
              <w:t>Monto de salvamentos y/o recuperaciones</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w:t>
            </w:r>
            <w:r w:rsidR="005F6138">
              <w:rPr>
                <w:rFonts w:ascii="Georgia" w:hAnsi="Georgia" w:cs="Georgia"/>
                <w:b/>
                <w:bCs/>
                <w:sz w:val="20"/>
                <w:szCs w:val="20"/>
              </w:rPr>
              <w:t>l</w:t>
            </w:r>
            <w:r w:rsidRPr="004B3FCA">
              <w:rPr>
                <w:rFonts w:ascii="Georgia" w:hAnsi="Georgia" w:cs="Georgia"/>
                <w:b/>
                <w:bCs/>
                <w:sz w:val="20"/>
                <w:szCs w:val="20"/>
              </w:rPr>
              <w:t xml:space="preserve"> deducible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9C759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A5606E" w:rsidRPr="004B3FCA" w:rsidTr="00615E69">
        <w:trPr>
          <w:trHeight w:val="144"/>
        </w:trPr>
        <w:tc>
          <w:tcPr>
            <w:tcW w:w="867" w:type="dxa"/>
            <w:tcBorders>
              <w:top w:val="single" w:sz="6" w:space="0" w:color="auto"/>
              <w:left w:val="double" w:sz="6" w:space="0" w:color="auto"/>
              <w:bottom w:val="double" w:sz="6" w:space="0" w:color="auto"/>
              <w:right w:val="single" w:sz="6" w:space="0" w:color="auto"/>
            </w:tcBorders>
          </w:tcPr>
          <w:p w:rsidR="00A5606E" w:rsidRPr="004B3FCA" w:rsidRDefault="00A5606E" w:rsidP="0031286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855"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97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620" w:type="dxa"/>
            <w:tcBorders>
              <w:top w:val="single" w:sz="6" w:space="0" w:color="auto"/>
              <w:left w:val="single" w:sz="6" w:space="0" w:color="auto"/>
              <w:bottom w:val="double" w:sz="6" w:space="0" w:color="auto"/>
              <w:right w:val="doub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w:t>
      </w:r>
      <w:r w:rsidR="00A5606E">
        <w:rPr>
          <w:rFonts w:ascii="Georgia" w:hAnsi="Georgia" w:cs="Georgia"/>
          <w:sz w:val="20"/>
          <w:szCs w:val="20"/>
        </w:rPr>
        <w:t xml:space="preserve">  </w:t>
      </w:r>
      <w:r w:rsidRPr="004B3FCA">
        <w:rPr>
          <w:rFonts w:ascii="Georgia" w:hAnsi="Georgia" w:cs="Georgia"/>
          <w:sz w:val="20"/>
          <w:szCs w:val="20"/>
        </w:rPr>
        <w:t xml:space="preserve">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w:t>
      </w:r>
      <w:r w:rsidR="00F140F4" w:rsidRPr="006764E4">
        <w:rPr>
          <w:rFonts w:ascii="Georgia" w:hAnsi="Georgia"/>
          <w:b/>
          <w:sz w:val="20"/>
          <w:szCs w:val="20"/>
        </w:rPr>
        <w:t>DGES009920151231.TXT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Se entenderá por ubicación, la de(l) (los) bien(es) inmueble(s) que se toma(n) como unidad de riesgo.</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0E7285" w:rsidRDefault="00312864" w:rsidP="000E7285">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Número de ubicaciones: </w:t>
      </w:r>
      <w:r w:rsidR="00CB40A9" w:rsidRPr="004B3FCA">
        <w:rPr>
          <w:rFonts w:ascii="Georgia" w:hAnsi="Georgia" w:cs="Georgia"/>
          <w:sz w:val="20"/>
          <w:szCs w:val="20"/>
        </w:rPr>
        <w:t xml:space="preserve">Es el número de </w:t>
      </w:r>
      <w:r w:rsidR="00446B8D">
        <w:rPr>
          <w:rFonts w:ascii="Georgia" w:hAnsi="Georgia" w:cs="Georgia"/>
          <w:sz w:val="20"/>
          <w:szCs w:val="20"/>
        </w:rPr>
        <w:t>unidades de riesgo</w:t>
      </w:r>
      <w:r w:rsidR="00CB40A9" w:rsidRPr="004B3FCA">
        <w:rPr>
          <w:rFonts w:ascii="Georgia" w:hAnsi="Georgia" w:cs="Georgia"/>
          <w:sz w:val="20"/>
          <w:szCs w:val="20"/>
        </w:rPr>
        <w:t xml:space="preserve"> que se encuentran</w:t>
      </w:r>
      <w:r w:rsidR="00446B8D">
        <w:rPr>
          <w:rFonts w:ascii="Georgia" w:hAnsi="Georgia" w:cs="Georgia"/>
          <w:sz w:val="20"/>
          <w:szCs w:val="20"/>
        </w:rPr>
        <w:t xml:space="preserve"> en cada ubicación o registro</w:t>
      </w:r>
      <w:r w:rsidR="00CB40A9" w:rsidRPr="004B3FCA">
        <w:rPr>
          <w:rFonts w:ascii="Georgia" w:hAnsi="Georgia" w:cs="Georgia"/>
          <w:sz w:val="20"/>
          <w:szCs w:val="20"/>
        </w:rPr>
        <w:t>.</w:t>
      </w:r>
      <w:r w:rsidR="000E7285">
        <w:rPr>
          <w:rFonts w:ascii="Georgia" w:hAnsi="Georgia" w:cs="Georgia"/>
          <w:sz w:val="20"/>
          <w:szCs w:val="20"/>
        </w:rPr>
        <w:t xml:space="preserve"> En el caso de pólizas individuales se deberá capturar el valor de 1</w:t>
      </w:r>
      <w:r w:rsidR="009646FB">
        <w:rPr>
          <w:rFonts w:ascii="Georgia" w:hAnsi="Georgia" w:cs="Georgia"/>
          <w:sz w:val="20"/>
          <w:szCs w:val="20"/>
        </w:rPr>
        <w:t>.</w:t>
      </w:r>
    </w:p>
    <w:p w:rsidR="009646FB" w:rsidRDefault="00CF1BA0" w:rsidP="009646FB">
      <w:pPr>
        <w:pStyle w:val="ROMANOS"/>
        <w:spacing w:line="240" w:lineRule="auto"/>
        <w:ind w:hanging="11"/>
        <w:rPr>
          <w:rFonts w:ascii="Georgia" w:hAnsi="Georgia" w:cs="Georgia"/>
          <w:bCs/>
          <w:sz w:val="20"/>
          <w:szCs w:val="20"/>
        </w:rPr>
      </w:pPr>
      <w:r>
        <w:rPr>
          <w:rFonts w:ascii="Georgia" w:hAnsi="Georgia" w:cs="Georgia"/>
          <w:bCs/>
          <w:sz w:val="20"/>
          <w:szCs w:val="20"/>
        </w:rPr>
        <w:t>La suma de los valores reportados en la variable n</w:t>
      </w:r>
      <w:r w:rsidR="009646FB">
        <w:rPr>
          <w:rFonts w:ascii="Georgia" w:hAnsi="Georgia" w:cs="Georgia"/>
          <w:bCs/>
          <w:sz w:val="20"/>
          <w:szCs w:val="20"/>
        </w:rPr>
        <w:t>úmero de ubicaciones en cada registro o ubicación deberá ser igual al total</w:t>
      </w:r>
      <w:r>
        <w:rPr>
          <w:rFonts w:ascii="Georgia" w:hAnsi="Georgia" w:cs="Georgia"/>
          <w:bCs/>
          <w:sz w:val="20"/>
          <w:szCs w:val="20"/>
        </w:rPr>
        <w:t xml:space="preserve"> de unidades de riesgo</w:t>
      </w:r>
      <w:r w:rsidR="009646FB">
        <w:rPr>
          <w:rFonts w:ascii="Georgia" w:hAnsi="Georgia" w:cs="Georgia"/>
          <w:bCs/>
          <w:sz w:val="20"/>
          <w:szCs w:val="20"/>
        </w:rPr>
        <w:t xml:space="preserve"> que tiene la póliza. </w:t>
      </w:r>
      <w:r w:rsidR="009646FB" w:rsidRPr="009646FB">
        <w:rPr>
          <w:rFonts w:ascii="Georgia" w:hAnsi="Georgia" w:cs="Georgia"/>
          <w:bCs/>
          <w:sz w:val="20"/>
          <w:szCs w:val="20"/>
        </w:rPr>
        <w:t xml:space="preserve"> </w:t>
      </w:r>
    </w:p>
    <w:p w:rsidR="00403FD2" w:rsidRDefault="00403FD2" w:rsidP="009646FB">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xml:space="preserve">. </w:t>
      </w:r>
      <w:r w:rsidR="00DE11B4">
        <w:rPr>
          <w:rFonts w:ascii="Georgia" w:hAnsi="Georgia" w:cs="Georgia"/>
          <w:bCs/>
          <w:sz w:val="20"/>
          <w:szCs w:val="20"/>
        </w:rPr>
        <w:t xml:space="preserve">En caso de no tener el detalle de cada una de las ubicaciones, </w:t>
      </w:r>
      <w:r>
        <w:rPr>
          <w:rFonts w:ascii="Georgia" w:hAnsi="Georgia" w:cs="Georgia"/>
          <w:bCs/>
          <w:sz w:val="20"/>
          <w:szCs w:val="20"/>
        </w:rPr>
        <w:t>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95D93" w:rsidRPr="009646FB" w:rsidRDefault="00695D93" w:rsidP="009646FB">
      <w:pPr>
        <w:pStyle w:val="ROMANOS"/>
        <w:spacing w:line="240" w:lineRule="auto"/>
        <w:ind w:hanging="11"/>
        <w:rPr>
          <w:rFonts w:ascii="Georgia" w:hAnsi="Georgia" w:cs="Georgia"/>
          <w:sz w:val="20"/>
          <w:szCs w:val="20"/>
        </w:rPr>
      </w:pP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931DFD">
        <w:rPr>
          <w:rFonts w:ascii="Georgia" w:hAnsi="Georgia" w:cs="Georgia"/>
          <w:b/>
          <w:bCs/>
          <w:sz w:val="20"/>
          <w:szCs w:val="20"/>
        </w:rPr>
        <w:t>Tipo de p</w:t>
      </w:r>
      <w:r w:rsidR="00F3648D">
        <w:rPr>
          <w:rFonts w:ascii="Georgia" w:hAnsi="Georgia" w:cs="Georgia"/>
          <w:b/>
          <w:bCs/>
          <w:sz w:val="20"/>
          <w:szCs w:val="20"/>
        </w:rPr>
        <w:t>óliza</w:t>
      </w:r>
      <w:r w:rsidR="00CB40A9" w:rsidRPr="004B3FCA">
        <w:rPr>
          <w:rFonts w:ascii="Georgia" w:hAnsi="Georgia" w:cs="Georgia"/>
          <w:b/>
          <w:bCs/>
          <w:sz w:val="20"/>
          <w:szCs w:val="20"/>
        </w:rPr>
        <w:t>:</w:t>
      </w:r>
      <w:r w:rsidR="00CB40A9" w:rsidRPr="004B3FCA">
        <w:rPr>
          <w:rFonts w:ascii="Georgia" w:hAnsi="Georgia" w:cs="Georgia"/>
          <w:sz w:val="20"/>
          <w:szCs w:val="20"/>
        </w:rPr>
        <w:t xml:space="preserve"> Para las pólizas </w:t>
      </w:r>
      <w:r w:rsidR="000E7285">
        <w:rPr>
          <w:rFonts w:ascii="Georgia" w:hAnsi="Georgia" w:cs="Georgia"/>
          <w:sz w:val="20"/>
          <w:szCs w:val="20"/>
        </w:rPr>
        <w:t>individuales</w:t>
      </w:r>
      <w:r w:rsidR="00CB40A9" w:rsidRPr="004B3FCA">
        <w:rPr>
          <w:rFonts w:ascii="Georgia" w:hAnsi="Georgia" w:cs="Georgia"/>
          <w:sz w:val="20"/>
          <w:szCs w:val="20"/>
        </w:rPr>
        <w:t xml:space="preserve"> se debe capturar el </w:t>
      </w:r>
      <w:r w:rsidR="000E7285">
        <w:rPr>
          <w:rFonts w:ascii="Georgia" w:hAnsi="Georgia" w:cs="Georgia"/>
          <w:sz w:val="20"/>
          <w:szCs w:val="20"/>
        </w:rPr>
        <w:t>valor de 1</w:t>
      </w:r>
      <w:r w:rsidR="00CB40A9" w:rsidRPr="004B3FCA">
        <w:rPr>
          <w:rFonts w:ascii="Georgia" w:hAnsi="Georgia" w:cs="Georgia"/>
          <w:sz w:val="20"/>
          <w:szCs w:val="20"/>
        </w:rPr>
        <w:t xml:space="preserve"> y para las pólizas agrupadas se capturará el valor de </w:t>
      </w:r>
      <w:r w:rsidR="000E7285">
        <w:rPr>
          <w:rFonts w:ascii="Georgia" w:hAnsi="Georgia" w:cs="Georgia"/>
          <w:sz w:val="20"/>
          <w:szCs w:val="20"/>
        </w:rPr>
        <w:t>2</w:t>
      </w:r>
      <w:r w:rsidR="00CB40A9" w:rsidRPr="004B3FCA">
        <w:rPr>
          <w:rFonts w:ascii="Georgia" w:hAnsi="Georgia" w:cs="Georgia"/>
          <w:sz w:val="20"/>
          <w:szCs w:val="20"/>
        </w:rPr>
        <w:t>.</w:t>
      </w:r>
    </w:p>
    <w:p w:rsidR="00E145D8" w:rsidRPr="00E145D8" w:rsidRDefault="00E145D8" w:rsidP="00403FD2">
      <w:pPr>
        <w:pStyle w:val="ROMANOS"/>
        <w:spacing w:line="240" w:lineRule="auto"/>
        <w:ind w:hanging="11"/>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5</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Subcuenta contable: </w:t>
      </w:r>
      <w:r w:rsidR="00CB40A9" w:rsidRPr="004B3FCA">
        <w:rPr>
          <w:rFonts w:ascii="Georgia" w:hAnsi="Georgia" w:cs="Georgia"/>
          <w:sz w:val="20"/>
          <w:szCs w:val="20"/>
        </w:rPr>
        <w:t xml:space="preserve">Se debe capturar según el </w:t>
      </w:r>
      <w:r w:rsidR="00CB40A9" w:rsidRPr="004B3FCA">
        <w:rPr>
          <w:rFonts w:ascii="Georgia" w:hAnsi="Georgia" w:cs="Georgia"/>
          <w:b/>
          <w:bCs/>
          <w:sz w:val="20"/>
          <w:szCs w:val="20"/>
        </w:rPr>
        <w:t>catálogo 3</w:t>
      </w:r>
      <w:r w:rsidR="00CB40A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B40A9" w:rsidRPr="004B3FCA">
          <w:rPr>
            <w:rFonts w:ascii="Georgia" w:hAnsi="Georgia" w:cs="Georgia"/>
            <w:sz w:val="20"/>
            <w:szCs w:val="20"/>
          </w:rPr>
          <w:t>la CNSF.</w:t>
        </w:r>
      </w:smartTag>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inicio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inicia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376D96" w:rsidRDefault="00376D96" w:rsidP="00CB40A9">
      <w:pPr>
        <w:pStyle w:val="ROMANOS"/>
        <w:spacing w:after="51" w:line="240" w:lineRule="auto"/>
        <w:rPr>
          <w:rFonts w:ascii="Georgia" w:hAnsi="Georgia" w:cs="Georgia"/>
          <w:b/>
          <w:bCs/>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fin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finaliza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Fecha cancelación:</w:t>
      </w:r>
      <w:r w:rsidR="00CB40A9" w:rsidRPr="004B3FCA">
        <w:rPr>
          <w:rFonts w:ascii="Georgia" w:hAnsi="Georgia" w:cs="Georgia"/>
          <w:sz w:val="20"/>
          <w:szCs w:val="20"/>
        </w:rPr>
        <w:t xml:space="preserve"> Se debe registrar la fecha en que se efectuó la cancelación contable de la </w:t>
      </w:r>
      <w:r w:rsidR="00A5606E">
        <w:rPr>
          <w:rFonts w:ascii="Georgia" w:hAnsi="Georgia" w:cs="Georgia"/>
          <w:sz w:val="20"/>
          <w:szCs w:val="20"/>
        </w:rPr>
        <w:t>ubicación</w:t>
      </w:r>
      <w:r w:rsidR="00CB40A9" w:rsidRPr="004B3FCA">
        <w:rPr>
          <w:rFonts w:ascii="Georgia" w:hAnsi="Georgia" w:cs="Georgia"/>
          <w:sz w:val="20"/>
          <w:szCs w:val="20"/>
        </w:rPr>
        <w:t xml:space="preserve"> del seguro de incendio. En esta variable se reportará únicamente las </w:t>
      </w:r>
      <w:r w:rsidR="00A5606E">
        <w:rPr>
          <w:rFonts w:ascii="Georgia" w:hAnsi="Georgia" w:cs="Georgia"/>
          <w:sz w:val="20"/>
          <w:szCs w:val="20"/>
        </w:rPr>
        <w:t>ubicaciones</w:t>
      </w:r>
      <w:r w:rsidR="00CB40A9" w:rsidRPr="004B3FCA">
        <w:rPr>
          <w:rFonts w:ascii="Georgia" w:hAnsi="Georgia" w:cs="Georgia"/>
          <w:sz w:val="20"/>
          <w:szCs w:val="20"/>
        </w:rPr>
        <w:t xml:space="preserve"> que lleguen canceladas al final del ejercicio y se reportará la última cancelación contable que haya tenido la </w:t>
      </w:r>
      <w:r w:rsidR="00A5606E">
        <w:rPr>
          <w:rFonts w:ascii="Georgia" w:hAnsi="Georgia" w:cs="Georgia"/>
          <w:sz w:val="20"/>
          <w:szCs w:val="20"/>
        </w:rPr>
        <w:t>ubicación</w:t>
      </w:r>
      <w:r w:rsidR="00CB40A9"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Moneda: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2</w:t>
      </w:r>
      <w:r w:rsidR="00CB40A9">
        <w:rPr>
          <w:rFonts w:ascii="Georgia" w:hAnsi="Georgia" w:cs="Georgia"/>
          <w:b/>
          <w:bCs/>
          <w:sz w:val="20"/>
          <w:szCs w:val="20"/>
        </w:rPr>
        <w:t>.1</w:t>
      </w:r>
      <w:r w:rsidR="00CB40A9" w:rsidRPr="004B3FCA">
        <w:rPr>
          <w:rFonts w:ascii="Georgia" w:hAnsi="Georgia" w:cs="Georgia"/>
          <w:sz w:val="20"/>
          <w:szCs w:val="20"/>
        </w:rPr>
        <w:t>, la clave de la moneda con la cual se emitió la póliza.</w:t>
      </w:r>
    </w:p>
    <w:p w:rsidR="00CB40A9" w:rsidRPr="004B3FCA" w:rsidRDefault="00CB40A9" w:rsidP="00E34B61">
      <w:pPr>
        <w:pStyle w:val="ROMANOS"/>
        <w:spacing w:after="51" w:line="240" w:lineRule="auto"/>
        <w:rPr>
          <w:rFonts w:ascii="Georgia" w:hAnsi="Georgia" w:cs="Georgia"/>
          <w:sz w:val="20"/>
          <w:szCs w:val="20"/>
        </w:rPr>
      </w:pPr>
      <w:r w:rsidRPr="004B3FCA">
        <w:rPr>
          <w:rFonts w:ascii="Georgia" w:hAnsi="Georgia" w:cs="Georgia"/>
          <w:b/>
          <w:bCs/>
          <w:sz w:val="20"/>
          <w:szCs w:val="20"/>
        </w:rPr>
        <w:lastRenderedPageBreak/>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E34B61">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E34B61">
        <w:rPr>
          <w:rFonts w:ascii="Georgia" w:hAnsi="Georgia" w:cs="Georgia"/>
          <w:sz w:val="20"/>
          <w:szCs w:val="20"/>
        </w:rPr>
        <w:t xml:space="preserve">la clave </w:t>
      </w:r>
      <w:r w:rsidRPr="004B3FCA">
        <w:rPr>
          <w:rFonts w:ascii="Georgia" w:hAnsi="Georgia" w:cs="Georgia"/>
          <w:sz w:val="20"/>
          <w:szCs w:val="20"/>
        </w:rPr>
        <w:t>de</w:t>
      </w:r>
      <w:r w:rsidR="000540BC" w:rsidRPr="000540BC">
        <w:rPr>
          <w:rFonts w:ascii="Georgia" w:hAnsi="Georgia" w:cs="Georgia"/>
          <w:sz w:val="20"/>
          <w:szCs w:val="20"/>
        </w:rPr>
        <w:t xml:space="preserve"> la</w:t>
      </w:r>
      <w:r w:rsidR="00E34B61">
        <w:rPr>
          <w:rFonts w:ascii="Georgia" w:hAnsi="Georgia" w:cs="Georgia"/>
          <w:sz w:val="20"/>
          <w:szCs w:val="20"/>
        </w:rPr>
        <w:t xml:space="preserve"> </w:t>
      </w:r>
      <w:r w:rsidRPr="004B3FCA">
        <w:rPr>
          <w:rFonts w:ascii="Georgia" w:hAnsi="Georgia" w:cs="Georgia"/>
          <w:sz w:val="20"/>
          <w:szCs w:val="20"/>
        </w:rPr>
        <w:t xml:space="preserve">forma de venta del seguro. </w:t>
      </w:r>
      <w:r w:rsidR="00E34B61"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4B61">
        <w:rPr>
          <w:rFonts w:ascii="Georgia" w:hAnsi="Georgia" w:cs="Georgia"/>
          <w:sz w:val="20"/>
          <w:szCs w:val="20"/>
        </w:rPr>
        <w:t xml:space="preserve"> </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5</w:t>
      </w:r>
      <w:r w:rsidRPr="004B3FCA">
        <w:rPr>
          <w:rFonts w:ascii="Georgia" w:hAnsi="Georgia" w:cs="Georgia"/>
          <w:sz w:val="20"/>
          <w:szCs w:val="20"/>
        </w:rPr>
        <w:t>, la clave del seguro que corresponda.</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CB40A9" w:rsidRPr="004B3FCA" w:rsidRDefault="00CB40A9" w:rsidP="00E55B78">
      <w:pPr>
        <w:pStyle w:val="ROMANOS"/>
        <w:spacing w:after="51" w:line="240" w:lineRule="auto"/>
        <w:ind w:hanging="431"/>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w:t>
      </w:r>
      <w:r w:rsidR="00E55B78">
        <w:rPr>
          <w:rFonts w:ascii="Georgia" w:hAnsi="Georgia" w:cs="Georgia"/>
          <w:sz w:val="20"/>
          <w:szCs w:val="20"/>
        </w:rPr>
        <w:t xml:space="preserve"> o endoso</w:t>
      </w:r>
      <w:r w:rsidRPr="004B3FCA">
        <w:rPr>
          <w:rFonts w:ascii="Georgia" w:hAnsi="Georgia" w:cs="Georgia"/>
          <w:sz w:val="20"/>
          <w:szCs w:val="20"/>
        </w:rPr>
        <w:t>; sin embargo, si el inicio de la vigencia corresponde a periodos anteriores, el devengamiento de la prima será a partir del inicio del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B40A9" w:rsidRPr="004B3FCA" w:rsidRDefault="00CB40A9" w:rsidP="00CB40A9">
      <w:pPr>
        <w:pStyle w:val="Texto"/>
        <w:spacing w:after="40" w:line="240" w:lineRule="auto"/>
        <w:rPr>
          <w:rFonts w:ascii="Georgia" w:hAnsi="Georgia" w:cs="Georgia"/>
          <w:sz w:val="20"/>
          <w:szCs w:val="20"/>
        </w:rPr>
      </w:pPr>
      <w:r w:rsidRPr="004B3FCA">
        <w:rPr>
          <w:rFonts w:ascii="Georgia" w:hAnsi="Georgia" w:cs="Georgia"/>
          <w:sz w:val="20"/>
          <w:szCs w:val="20"/>
        </w:rPr>
        <w:tab/>
        <w:t>PD = -------PE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sz w:val="20"/>
          <w:szCs w:val="20"/>
        </w:rPr>
        <w:t>Donde:</w:t>
      </w:r>
      <w:bookmarkStart w:id="0" w:name="_GoBack"/>
      <w:bookmarkEnd w:id="0"/>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PD </w:t>
      </w:r>
      <w:r w:rsidRPr="004B3FCA">
        <w:rPr>
          <w:rFonts w:ascii="Georgia" w:hAnsi="Georgia" w:cs="Georgia"/>
          <w:sz w:val="20"/>
          <w:szCs w:val="20"/>
        </w:rPr>
        <w:t>= Prima devengada.</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w:t>
      </w:r>
      <w:r w:rsidR="00E55B78">
        <w:rPr>
          <w:rFonts w:ascii="Georgia" w:hAnsi="Georgia" w:cs="Georgia"/>
          <w:sz w:val="20"/>
          <w:szCs w:val="20"/>
        </w:rPr>
        <w:t xml:space="preserve"> y/o endoso</w:t>
      </w:r>
      <w:r w:rsidRPr="004B3FCA">
        <w:rPr>
          <w:rFonts w:ascii="Georgia" w:hAnsi="Georgia" w:cs="Georgia"/>
          <w:sz w:val="20"/>
          <w:szCs w:val="20"/>
        </w:rPr>
        <w:t>.</w:t>
      </w:r>
    </w:p>
    <w:p w:rsidR="00CB40A9" w:rsidRPr="004B3FCA" w:rsidRDefault="00CB40A9" w:rsidP="00E55B78">
      <w:pPr>
        <w:pStyle w:val="Texto"/>
        <w:spacing w:after="120" w:line="240" w:lineRule="auto"/>
        <w:ind w:left="720" w:firstLine="0"/>
        <w:rPr>
          <w:rFonts w:ascii="Georgia" w:hAnsi="Georgia" w:cs="Georgia"/>
          <w:sz w:val="20"/>
          <w:szCs w:val="20"/>
        </w:rPr>
      </w:pP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17</w:t>
      </w:r>
      <w:r w:rsidR="00CB40A9" w:rsidRPr="004B3FCA">
        <w:rPr>
          <w:rFonts w:ascii="Georgia" w:hAnsi="Georgia" w:cs="Georgia"/>
          <w:b/>
          <w:bCs/>
          <w:sz w:val="20"/>
          <w:szCs w:val="20"/>
        </w:rPr>
        <w:t>.</w:t>
      </w:r>
      <w:r w:rsidR="00CB40A9" w:rsidRPr="004B3FCA">
        <w:rPr>
          <w:rFonts w:ascii="Georgia" w:hAnsi="Georgia" w:cs="Georgia"/>
          <w:b/>
          <w:bCs/>
          <w:sz w:val="20"/>
          <w:szCs w:val="20"/>
        </w:rPr>
        <w:tab/>
        <w:t>Comisión directa:</w:t>
      </w:r>
      <w:r w:rsidR="00CB40A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18</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edificio:</w:t>
      </w:r>
      <w:r w:rsidR="00CB40A9"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lastRenderedPageBreak/>
        <w:t>En caso de que la póliza cubra edificio y algún otro bien, y no se cuente con el valor total para cada uno de esos bienes, se reportará el valor total de los bienes en este campo.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19</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contenidos:</w:t>
      </w:r>
      <w:r w:rsidR="00CB40A9"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En caso de que la póliza cubra contenidos y algún otro bien diferente de edificio, y no se tenga el valor total para cada uno de esos bienes, se reportará el valor total de los bienes en este campo.</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Valores totales existencias:</w:t>
      </w:r>
      <w:r w:rsidRPr="004B3FCA">
        <w:rPr>
          <w:rFonts w:ascii="Georgia" w:hAnsi="Georgia" w:cs="Georgia"/>
          <w:sz w:val="20"/>
          <w:szCs w:val="20"/>
        </w:rPr>
        <w:t xml:space="preserve"> Se deben capturar los valores totales suscritos para las existencias o inventarios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Número de niveles: </w:t>
      </w:r>
      <w:r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primer riesgo: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130</w:t>
      </w:r>
      <w:r w:rsidRPr="004B3FCA">
        <w:rPr>
          <w:rFonts w:ascii="Georgia" w:hAnsi="Georgia" w:cs="Georgia"/>
          <w:sz w:val="20"/>
          <w:szCs w:val="20"/>
        </w:rPr>
        <w:t>, la manera en que está operando el primer riesgo, en caso de estar suscrita la póliza de esa forma.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pérdidas consecuenciales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A5606E">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A5606E">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84" w:line="240" w:lineRule="auto"/>
        <w:rPr>
          <w:rFonts w:ascii="Georgia" w:hAnsi="Georgia" w:cs="Georgia"/>
          <w:sz w:val="20"/>
          <w:szCs w:val="20"/>
        </w:rPr>
      </w:pPr>
    </w:p>
    <w:p w:rsidR="00D07D5A" w:rsidRPr="004B3FCA" w:rsidRDefault="00CB40A9" w:rsidP="00D07D5A">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sidR="00D07D5A">
        <w:rPr>
          <w:rFonts w:ascii="Georgia" w:hAnsi="Georgia" w:cs="Georgia"/>
          <w:b/>
          <w:bCs/>
          <w:sz w:val="20"/>
          <w:szCs w:val="20"/>
        </w:rPr>
        <w:t>Subtipo de seguro</w:t>
      </w:r>
      <w:r w:rsidR="00D07D5A" w:rsidRPr="004B3FCA">
        <w:rPr>
          <w:rFonts w:ascii="Georgia" w:hAnsi="Georgia" w:cs="Georgia"/>
          <w:b/>
          <w:bCs/>
          <w:sz w:val="20"/>
          <w:szCs w:val="20"/>
        </w:rPr>
        <w:t xml:space="preserve">: </w:t>
      </w:r>
      <w:r w:rsidR="00D07D5A" w:rsidRPr="004B3FCA">
        <w:rPr>
          <w:rFonts w:ascii="Georgia" w:hAnsi="Georgia" w:cs="Georgia"/>
          <w:sz w:val="20"/>
          <w:szCs w:val="20"/>
        </w:rPr>
        <w:t xml:space="preserve">Se </w:t>
      </w:r>
      <w:r w:rsidR="00D07D5A">
        <w:rPr>
          <w:rFonts w:ascii="Georgia" w:hAnsi="Georgia" w:cs="Georgia"/>
          <w:sz w:val="20"/>
          <w:szCs w:val="20"/>
        </w:rPr>
        <w:t xml:space="preserve">debe capturar de acuerdo al </w:t>
      </w:r>
      <w:r w:rsidR="00D07D5A" w:rsidRPr="00E9290F">
        <w:rPr>
          <w:rFonts w:ascii="Georgia" w:hAnsi="Georgia" w:cs="Georgia"/>
          <w:b/>
          <w:sz w:val="20"/>
          <w:szCs w:val="20"/>
        </w:rPr>
        <w:t>catálogo 84</w:t>
      </w:r>
      <w:r w:rsidR="00D07D5A">
        <w:rPr>
          <w:rFonts w:ascii="Georgia" w:hAnsi="Georgia" w:cs="Georgia"/>
          <w:sz w:val="20"/>
          <w:szCs w:val="20"/>
        </w:rPr>
        <w:t xml:space="preserve">, el subtipo de seguro que corresponda al negocio asegurado, ya sea </w:t>
      </w:r>
      <w:proofErr w:type="spellStart"/>
      <w:r w:rsidR="00D07D5A">
        <w:rPr>
          <w:rFonts w:ascii="Georgia" w:hAnsi="Georgia" w:cs="Georgia"/>
          <w:sz w:val="20"/>
          <w:szCs w:val="20"/>
        </w:rPr>
        <w:t>microseguro</w:t>
      </w:r>
      <w:proofErr w:type="spellEnd"/>
      <w:r w:rsidR="00D07D5A">
        <w:rPr>
          <w:rFonts w:ascii="Georgia" w:hAnsi="Georgia" w:cs="Georgia"/>
          <w:sz w:val="20"/>
          <w:szCs w:val="20"/>
        </w:rPr>
        <w:t>, negocio gubernamental</w:t>
      </w:r>
      <w:r w:rsidR="004D5C35">
        <w:rPr>
          <w:rFonts w:ascii="Georgia" w:hAnsi="Georgia" w:cs="Georgia"/>
          <w:sz w:val="20"/>
          <w:szCs w:val="20"/>
        </w:rPr>
        <w:t>, seguro obligatorio</w:t>
      </w:r>
      <w:r w:rsidR="00B34FB8">
        <w:rPr>
          <w:rFonts w:ascii="Georgia" w:hAnsi="Georgia" w:cs="Georgia"/>
          <w:sz w:val="20"/>
          <w:szCs w:val="20"/>
        </w:rPr>
        <w:t>, pyme</w:t>
      </w:r>
      <w:r w:rsidR="00D07D5A">
        <w:rPr>
          <w:rFonts w:ascii="Georgia" w:hAnsi="Georgia" w:cs="Georgia"/>
          <w:sz w:val="20"/>
          <w:szCs w:val="20"/>
        </w:rPr>
        <w:t xml:space="preserve"> u otro</w:t>
      </w:r>
      <w:r w:rsidR="00D07D5A" w:rsidRPr="004B3FCA">
        <w:rPr>
          <w:rFonts w:ascii="Georgia" w:hAnsi="Georgia" w:cs="Georgia"/>
          <w:sz w:val="20"/>
          <w:szCs w:val="20"/>
        </w:rPr>
        <w:t>.</w:t>
      </w:r>
    </w:p>
    <w:p w:rsidR="00CB40A9" w:rsidRPr="004B3FCA" w:rsidRDefault="00312864" w:rsidP="00D07D5A">
      <w:pPr>
        <w:pStyle w:val="ROMANOS"/>
        <w:spacing w:after="84" w:line="240" w:lineRule="auto"/>
        <w:rPr>
          <w:rFonts w:ascii="Georgia" w:hAnsi="Georgia" w:cs="Georgia"/>
          <w:sz w:val="20"/>
          <w:szCs w:val="20"/>
        </w:rPr>
      </w:pPr>
      <w:r>
        <w:rPr>
          <w:rFonts w:ascii="Georgia" w:hAnsi="Georgia" w:cs="Georgia"/>
          <w:b/>
          <w:bCs/>
          <w:sz w:val="20"/>
          <w:szCs w:val="20"/>
        </w:rPr>
        <w:t>27</w:t>
      </w:r>
      <w:r w:rsidR="00CB40A9" w:rsidRPr="004B3FCA">
        <w:rPr>
          <w:rFonts w:ascii="Georgia" w:hAnsi="Georgia" w:cs="Georgia"/>
          <w:b/>
          <w:bCs/>
          <w:sz w:val="20"/>
          <w:szCs w:val="20"/>
        </w:rPr>
        <w:t>.</w:t>
      </w:r>
      <w:r w:rsidR="00CB40A9" w:rsidRPr="004B3FCA">
        <w:rPr>
          <w:rFonts w:ascii="Georgia" w:hAnsi="Georgia" w:cs="Georgia"/>
          <w:b/>
          <w:bCs/>
          <w:sz w:val="20"/>
          <w:szCs w:val="20"/>
        </w:rPr>
        <w:tab/>
        <w:t>Estatus:</w:t>
      </w:r>
      <w:r w:rsidR="00CB40A9" w:rsidRPr="004B3FCA">
        <w:rPr>
          <w:rFonts w:ascii="Georgia" w:hAnsi="Georgia" w:cs="Georgia"/>
          <w:sz w:val="20"/>
          <w:szCs w:val="20"/>
        </w:rPr>
        <w:t xml:space="preserve"> Se debe capturar de acuerdo al catálogo 20.1, la clave del tipo de movimiento contable de la póliza a nivel ubicación al final del ejercicio.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28</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140F4" w:rsidRPr="004B3FCA">
        <w:rPr>
          <w:rFonts w:ascii="Georgia" w:hAnsi="Georgia" w:cs="Georgia"/>
          <w:b/>
          <w:bCs/>
          <w:sz w:val="20"/>
          <w:szCs w:val="20"/>
        </w:rPr>
        <w:t>Tipo de pago:</w:t>
      </w:r>
      <w:r w:rsidR="00F140F4"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F140F4" w:rsidRPr="004B3FCA">
          <w:rPr>
            <w:rFonts w:ascii="Georgia" w:hAnsi="Georgia" w:cs="Georgia"/>
            <w:sz w:val="20"/>
            <w:szCs w:val="20"/>
          </w:rPr>
          <w:t>1”</w:t>
        </w:r>
      </w:smartTag>
      <w:r w:rsidR="00F140F4"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F140F4" w:rsidRPr="004B3FCA">
          <w:rPr>
            <w:rFonts w:ascii="Georgia" w:hAnsi="Georgia" w:cs="Georgia"/>
            <w:sz w:val="20"/>
            <w:szCs w:val="20"/>
          </w:rPr>
          <w:t>2”</w:t>
        </w:r>
      </w:smartTag>
      <w:r w:rsidR="00F140F4" w:rsidRPr="004B3FCA">
        <w:rPr>
          <w:rFonts w:ascii="Georgia" w:hAnsi="Georgia" w:cs="Georgia"/>
          <w:sz w:val="20"/>
          <w:szCs w:val="20"/>
        </w:rPr>
        <w:t xml:space="preserve"> (dos) si el tipo de pago es fraccionado</w:t>
      </w:r>
      <w:r w:rsidR="00CB40A9" w:rsidRPr="004B3FCA">
        <w:rPr>
          <w:rFonts w:ascii="Georgia" w:hAnsi="Georgia" w:cs="Georgia"/>
          <w:sz w:val="20"/>
          <w:szCs w:val="20"/>
        </w:rPr>
        <w:t>.</w:t>
      </w:r>
    </w:p>
    <w:p w:rsidR="00376D96" w:rsidRDefault="00376D96" w:rsidP="00CB40A9">
      <w:pPr>
        <w:pStyle w:val="Texto"/>
        <w:spacing w:after="84" w:line="240" w:lineRule="auto"/>
        <w:ind w:firstLine="0"/>
        <w:jc w:val="center"/>
        <w:rPr>
          <w:rFonts w:ascii="Georgia" w:hAnsi="Georgia" w:cs="Georgia"/>
          <w:b/>
          <w:bCs/>
          <w:sz w:val="20"/>
          <w:szCs w:val="20"/>
        </w:rPr>
      </w:pPr>
    </w:p>
    <w:p w:rsidR="00CB40A9" w:rsidRPr="004B3FCA" w:rsidRDefault="00CB40A9" w:rsidP="00CB40A9">
      <w:pPr>
        <w:pStyle w:val="Texto"/>
        <w:spacing w:after="84"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B40A9" w:rsidRPr="004B3FCA" w:rsidRDefault="00CB40A9" w:rsidP="00CB40A9">
      <w:pPr>
        <w:pStyle w:val="Texto"/>
        <w:spacing w:after="84"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INCEMI</w:t>
      </w:r>
      <w:r w:rsidR="00F140F4" w:rsidRPr="006764E4">
        <w:rPr>
          <w:rFonts w:ascii="Georgia" w:hAnsi="Georgia"/>
          <w:b/>
          <w:sz w:val="20"/>
          <w:szCs w:val="20"/>
        </w:rPr>
        <w:t>S009920151231.TXT</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Se entenderá por ubicación, el(los) bien(es) inmueble(s) que se toma(n) como unidad de riesgo.</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 xml:space="preserve">: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13</w:t>
      </w:r>
      <w:r w:rsidR="00CB40A9" w:rsidRPr="004B3FCA">
        <w:rPr>
          <w:rFonts w:ascii="Georgia" w:hAnsi="Georgia" w:cs="Georgia"/>
          <w:sz w:val="20"/>
          <w:szCs w:val="20"/>
        </w:rPr>
        <w:t>, la clave del bien que se está asegurando.</w:t>
      </w:r>
    </w:p>
    <w:p w:rsidR="006A7D1A" w:rsidRPr="006A7D1A" w:rsidRDefault="006A7D1A" w:rsidP="006A7D1A">
      <w:pPr>
        <w:pStyle w:val="ROMANOS"/>
        <w:ind w:hanging="11"/>
        <w:rPr>
          <w:rFonts w:ascii="Georgia" w:hAnsi="Georgia" w:cs="Georgia"/>
          <w:sz w:val="20"/>
          <w:szCs w:val="20"/>
        </w:rPr>
      </w:pPr>
      <w:r w:rsidRPr="006A7D1A">
        <w:rPr>
          <w:rFonts w:ascii="Georgia" w:hAnsi="Georgia" w:cs="Georgia"/>
          <w:sz w:val="20"/>
          <w:szCs w:val="20"/>
        </w:rPr>
        <w:lastRenderedPageBreak/>
        <w:t xml:space="preserve">En caso que tener el desglose de la suma asegurada por tipo de bien, se deberá capturar un registro por cada tipo de bien </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17.</w:t>
      </w:r>
      <w:r w:rsidR="00CB40A9">
        <w:rPr>
          <w:rFonts w:ascii="Georgia" w:hAnsi="Georgia" w:cs="Georgia"/>
          <w:b/>
          <w:bCs/>
          <w:sz w:val="20"/>
          <w:szCs w:val="20"/>
        </w:rPr>
        <w:t>5</w:t>
      </w:r>
      <w:r w:rsidR="00CB40A9" w:rsidRPr="004B3FCA">
        <w:rPr>
          <w:rFonts w:ascii="Georgia" w:hAnsi="Georgia" w:cs="Georgia"/>
          <w:sz w:val="20"/>
          <w:szCs w:val="20"/>
        </w:rPr>
        <w:t>, la clave de cada una de las coberturas de la póliza.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5</w:t>
      </w:r>
      <w:r w:rsidR="00CB40A9" w:rsidRPr="004B3FCA">
        <w:rPr>
          <w:rFonts w:ascii="Georgia" w:hAnsi="Georgia" w:cs="Georgia"/>
          <w:b/>
          <w:bCs/>
          <w:sz w:val="20"/>
          <w:szCs w:val="20"/>
        </w:rPr>
        <w:t>.</w:t>
      </w:r>
      <w:r w:rsidR="00CB40A9" w:rsidRPr="004B3FCA">
        <w:rPr>
          <w:rFonts w:ascii="Georgia" w:hAnsi="Georgia" w:cs="Georgia"/>
          <w:b/>
          <w:bCs/>
          <w:sz w:val="20"/>
          <w:szCs w:val="20"/>
        </w:rPr>
        <w:tab/>
        <w:t>Suma asegurada:</w:t>
      </w:r>
      <w:r w:rsidR="00CB40A9"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t>Sublímite suma asegurada:</w:t>
      </w:r>
      <w:r w:rsidR="00CB40A9"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B40A9" w:rsidRPr="004B3FCA">
          <w:rPr>
            <w:rFonts w:ascii="Georgia" w:hAnsi="Georgia" w:cs="Georgia"/>
            <w:sz w:val="20"/>
            <w:szCs w:val="20"/>
          </w:rPr>
          <w:t>1”</w:t>
        </w:r>
      </w:smartTag>
      <w:r w:rsidR="00CB40A9"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CB40A9" w:rsidRPr="004B3FCA">
          <w:rPr>
            <w:rFonts w:ascii="Georgia" w:hAnsi="Georgia" w:cs="Georgia"/>
            <w:sz w:val="20"/>
            <w:szCs w:val="20"/>
          </w:rPr>
          <w:t>0”</w:t>
        </w:r>
      </w:smartTag>
      <w:r w:rsidR="00CB40A9" w:rsidRPr="004B3FCA">
        <w:rPr>
          <w:rFonts w:ascii="Georgia" w:hAnsi="Georgia" w:cs="Georgia"/>
          <w:sz w:val="20"/>
          <w:szCs w:val="20"/>
        </w:rPr>
        <w:t xml:space="preserve"> (cero) en caso de que no lo sea.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 xml:space="preserve">. </w:t>
      </w:r>
      <w:r w:rsidR="00CB40A9" w:rsidRPr="004B3FCA">
        <w:rPr>
          <w:rFonts w:ascii="Georgia" w:hAnsi="Georgia" w:cs="Georgia"/>
          <w:b/>
          <w:bCs/>
          <w:sz w:val="20"/>
          <w:szCs w:val="20"/>
        </w:rPr>
        <w:tab/>
        <w:t>Suma asegurada expuesta:</w:t>
      </w:r>
      <w:r w:rsidR="00CB40A9" w:rsidRPr="004B3FCA">
        <w:rPr>
          <w:rFonts w:ascii="Georgia" w:hAnsi="Georgia" w:cs="Georgia"/>
          <w:sz w:val="20"/>
          <w:szCs w:val="20"/>
        </w:rPr>
        <w:t xml:space="preserve"> Se debe reportar </w:t>
      </w:r>
      <w:r w:rsidR="00F140F4">
        <w:rPr>
          <w:rFonts w:ascii="Georgia" w:hAnsi="Georgia" w:cs="Georgia"/>
          <w:sz w:val="20"/>
          <w:szCs w:val="20"/>
        </w:rPr>
        <w:t xml:space="preserve">el promedio ponderado </w:t>
      </w:r>
      <w:r w:rsidR="00CB40A9" w:rsidRPr="004B3FCA">
        <w:rPr>
          <w:rFonts w:ascii="Georgia" w:hAnsi="Georgia" w:cs="Georgia"/>
          <w:sz w:val="20"/>
          <w:szCs w:val="20"/>
        </w:rPr>
        <w:t>de la suma asegurada contratada que estuvo expuesta durante el periodo de reporte, por cada bien y cobertura.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spacing w:line="240" w:lineRule="auto"/>
        <w:ind w:left="720" w:firstLine="0"/>
        <w:jc w:val="left"/>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33.3pt" o:ole="">
            <v:imagedata r:id="rId12" o:title=""/>
          </v:shape>
          <o:OLEObject Type="Embed" ProgID="Equation.3" ShapeID="_x0000_i1025" DrawAspect="Content" ObjectID="_1669633698" r:id="rId13"/>
        </w:objec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b/>
          <w:bCs/>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Dj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Vi </w:t>
      </w:r>
      <w:r w:rsidRPr="004B3FCA">
        <w:rPr>
          <w:rFonts w:ascii="Georgia" w:hAnsi="Georgia" w:cs="Georgia"/>
          <w:sz w:val="20"/>
          <w:szCs w:val="20"/>
        </w:rPr>
        <w:t xml:space="preserve">= </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 </w:t>
      </w:r>
      <w:r w:rsidRPr="004B3FCA">
        <w:rPr>
          <w:rFonts w:ascii="Georgia" w:hAnsi="Georgia" w:cs="Georgia"/>
          <w:sz w:val="20"/>
          <w:szCs w:val="20"/>
        </w:rPr>
        <w:tab/>
        <w:t>número de días de exposición de la suma asegurada con la que originalmente se contrató el seguro, en el periodo de reporte</w:t>
      </w:r>
    </w:p>
    <w:p w:rsidR="00CB40A9"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815373" w:rsidRDefault="00815373" w:rsidP="00815373">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3F49E3" w:rsidRPr="004B3FCA" w:rsidRDefault="003F49E3" w:rsidP="00CB40A9">
      <w:pPr>
        <w:pStyle w:val="Texto"/>
        <w:spacing w:line="240" w:lineRule="auto"/>
        <w:ind w:left="1260" w:hanging="540"/>
        <w:rPr>
          <w:rFonts w:ascii="Georgia" w:hAnsi="Georgia" w:cs="Georgia"/>
          <w:sz w:val="20"/>
          <w:szCs w:val="20"/>
        </w:rPr>
      </w:pP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INCSIN</w:t>
      </w:r>
      <w:r w:rsidR="00F140F4" w:rsidRPr="006764E4">
        <w:rPr>
          <w:rFonts w:ascii="Georgia" w:hAnsi="Georgia"/>
          <w:b/>
          <w:sz w:val="20"/>
          <w:szCs w:val="20"/>
        </w:rPr>
        <w:t>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las pólizas siniestradas.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Ubicación: </w:t>
      </w:r>
      <w:r w:rsidR="00CB40A9"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siniestrada.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3</w:t>
      </w:r>
      <w:r w:rsidR="00CB40A9" w:rsidRPr="004B3FCA">
        <w:rPr>
          <w:rFonts w:ascii="Georgia" w:hAnsi="Georgia" w:cs="Georgia"/>
          <w:b/>
          <w:bCs/>
          <w:sz w:val="20"/>
          <w:szCs w:val="20"/>
        </w:rPr>
        <w:t>.</w:t>
      </w:r>
      <w:r w:rsidR="00CB40A9" w:rsidRPr="004B3FCA">
        <w:rPr>
          <w:rFonts w:ascii="Georgia" w:hAnsi="Georgia" w:cs="Georgia"/>
          <w:b/>
          <w:bCs/>
          <w:sz w:val="20"/>
          <w:szCs w:val="20"/>
        </w:rPr>
        <w:tab/>
        <w:t>Entidad/Municipio:</w:t>
      </w:r>
      <w:r w:rsidR="00CB40A9" w:rsidRPr="004B3FCA">
        <w:rPr>
          <w:rFonts w:ascii="Georgia" w:hAnsi="Georgia" w:cs="Georgia"/>
          <w:sz w:val="20"/>
          <w:szCs w:val="20"/>
        </w:rPr>
        <w:t xml:space="preserve"> Se debe especificar de acuerdo al </w:t>
      </w:r>
      <w:r w:rsidR="00CB40A9" w:rsidRPr="003579E8">
        <w:rPr>
          <w:rFonts w:ascii="Georgia" w:hAnsi="Georgia" w:cs="Georgia"/>
          <w:b/>
          <w:sz w:val="20"/>
          <w:szCs w:val="20"/>
        </w:rPr>
        <w:t xml:space="preserve">catálogo </w:t>
      </w:r>
      <w:r w:rsidR="00CB40A9">
        <w:rPr>
          <w:rFonts w:ascii="Georgia" w:hAnsi="Georgia" w:cs="Georgia"/>
          <w:b/>
          <w:sz w:val="20"/>
          <w:szCs w:val="20"/>
        </w:rPr>
        <w:t>16.2</w:t>
      </w:r>
      <w:r w:rsidR="00CB40A9" w:rsidRPr="004B3FCA">
        <w:rPr>
          <w:rFonts w:ascii="Georgia" w:hAnsi="Georgia" w:cs="Georgia"/>
          <w:sz w:val="20"/>
          <w:szCs w:val="20"/>
        </w:rPr>
        <w:t xml:space="preserve"> la entidad federativa - municipio en donde ocurrió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w:t>
      </w:r>
      <w:r w:rsidR="00CB40A9" w:rsidRPr="004B3FCA">
        <w:rPr>
          <w:rFonts w:ascii="Georgia" w:hAnsi="Georgia" w:cs="Georgia"/>
          <w:sz w:val="20"/>
          <w:szCs w:val="20"/>
        </w:rPr>
        <w:t xml:space="preserve"> Se debe capturar de acuerdo al </w:t>
      </w:r>
      <w:r w:rsidR="00CB40A9" w:rsidRPr="003579E8">
        <w:rPr>
          <w:rFonts w:ascii="Georgia" w:hAnsi="Georgia" w:cs="Georgia"/>
          <w:b/>
          <w:sz w:val="20"/>
          <w:szCs w:val="20"/>
        </w:rPr>
        <w:t>catálogo 13</w:t>
      </w:r>
      <w:r w:rsidR="00CB40A9" w:rsidRPr="004B3FCA">
        <w:rPr>
          <w:rFonts w:ascii="Georgia" w:hAnsi="Georgia" w:cs="Georgia"/>
          <w:sz w:val="20"/>
          <w:szCs w:val="20"/>
        </w:rPr>
        <w:t>, la clave del bien asegurado que sufrió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5</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3579E8">
        <w:rPr>
          <w:rFonts w:ascii="Georgia" w:hAnsi="Georgia" w:cs="Georgia"/>
          <w:b/>
          <w:sz w:val="20"/>
          <w:szCs w:val="20"/>
        </w:rPr>
        <w:t>catálogo 17.</w:t>
      </w:r>
      <w:r w:rsidR="00CB40A9">
        <w:rPr>
          <w:rFonts w:ascii="Georgia" w:hAnsi="Georgia" w:cs="Georgia"/>
          <w:sz w:val="20"/>
          <w:szCs w:val="20"/>
        </w:rPr>
        <w:t>5</w:t>
      </w:r>
      <w:r w:rsidR="00CB40A9" w:rsidRPr="004B3FCA">
        <w:rPr>
          <w:rFonts w:ascii="Georgia" w:hAnsi="Georgia" w:cs="Georgia"/>
          <w:sz w:val="20"/>
          <w:szCs w:val="20"/>
        </w:rPr>
        <w:t>, la clave de cada una de las coberturas de la póliza, afectadas por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siniestro:</w:t>
      </w:r>
      <w:r w:rsidR="00CB40A9" w:rsidRPr="004B3FCA">
        <w:rPr>
          <w:rFonts w:ascii="Georgia" w:hAnsi="Georgia" w:cs="Georgia"/>
          <w:sz w:val="20"/>
          <w:szCs w:val="20"/>
        </w:rPr>
        <w:t xml:space="preserve"> Se debe capturar la clave que la misma Institución le asignó al siniestro ocurrido, por lo que cada siniestro tendrá una clave diferente.</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ocurrencia del siniestro: </w:t>
      </w:r>
      <w:r w:rsidR="00CB40A9" w:rsidRPr="004B3FCA">
        <w:rPr>
          <w:rFonts w:ascii="Georgia" w:hAnsi="Georgia" w:cs="Georgia"/>
          <w:sz w:val="20"/>
          <w:szCs w:val="20"/>
        </w:rPr>
        <w:t>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reporte del siniestro: </w:t>
      </w:r>
      <w:r w:rsidR="00CB40A9"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BB7D96" w:rsidP="00BB7D96">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Causa </w:t>
      </w:r>
      <w:r w:rsidR="009C7599">
        <w:rPr>
          <w:rFonts w:ascii="Georgia" w:hAnsi="Georgia" w:cs="Georgia"/>
          <w:b/>
          <w:bCs/>
          <w:sz w:val="20"/>
          <w:szCs w:val="20"/>
        </w:rPr>
        <w:t xml:space="preserve">del </w:t>
      </w:r>
      <w:r w:rsidR="00CB40A9" w:rsidRPr="004B3FCA">
        <w:rPr>
          <w:rFonts w:ascii="Georgia" w:hAnsi="Georgia" w:cs="Georgia"/>
          <w:b/>
          <w:bCs/>
          <w:sz w:val="20"/>
          <w:szCs w:val="20"/>
        </w:rPr>
        <w:t>siniestro:</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19.</w:t>
      </w:r>
      <w:r w:rsidR="00CB40A9">
        <w:rPr>
          <w:rFonts w:ascii="Georgia" w:hAnsi="Georgia" w:cs="Georgia"/>
          <w:b/>
          <w:bCs/>
          <w:sz w:val="20"/>
          <w:szCs w:val="20"/>
        </w:rPr>
        <w:t>5</w:t>
      </w:r>
      <w:r w:rsidR="00CB40A9" w:rsidRPr="004B3FCA">
        <w:rPr>
          <w:rFonts w:ascii="Georgia" w:hAnsi="Georgia" w:cs="Georgia"/>
          <w:sz w:val="20"/>
          <w:szCs w:val="20"/>
        </w:rPr>
        <w:t>, la clave de la causa que originó el siniestro.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81631C" w:rsidRPr="0081631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5F6138">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81537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CB40A9"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5606E" w:rsidRDefault="00A5606E" w:rsidP="00A5606E">
      <w:pPr>
        <w:pStyle w:val="ROMANOS"/>
        <w:spacing w:line="240" w:lineRule="auto"/>
        <w:rPr>
          <w:rFonts w:ascii="Georgia" w:hAnsi="Georgia" w:cs="Georgia"/>
          <w:sz w:val="20"/>
          <w:szCs w:val="20"/>
        </w:rPr>
      </w:pPr>
      <w:r>
        <w:rPr>
          <w:rFonts w:ascii="Georgia" w:hAnsi="Georgia" w:cs="Georgia"/>
          <w:b/>
          <w:bCs/>
          <w:sz w:val="20"/>
          <w:szCs w:val="20"/>
        </w:rPr>
        <w:t>16.</w:t>
      </w:r>
      <w:r>
        <w:rPr>
          <w:rFonts w:ascii="Georgia" w:hAnsi="Georgia" w:cs="Georgia"/>
          <w:b/>
          <w:bCs/>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sidR="000540BC">
        <w:rPr>
          <w:rFonts w:ascii="Georgia" w:hAnsi="Georgia" w:cs="Georgia"/>
          <w:sz w:val="20"/>
          <w:szCs w:val="20"/>
        </w:rPr>
        <w:t>se realizó el pago del</w:t>
      </w:r>
      <w:r w:rsidRPr="004B3FCA">
        <w:rPr>
          <w:rFonts w:ascii="Georgia" w:hAnsi="Georgia" w:cs="Georgia"/>
          <w:sz w:val="20"/>
          <w:szCs w:val="20"/>
        </w:rPr>
        <w:t xml:space="preserve"> siniestro</w:t>
      </w:r>
      <w:r w:rsidR="000540BC">
        <w:rPr>
          <w:rFonts w:ascii="Georgia" w:hAnsi="Georgia" w:cs="Georgia"/>
          <w:sz w:val="20"/>
          <w:szCs w:val="20"/>
        </w:rPr>
        <w:t xml:space="preserve"> por parte de</w:t>
      </w:r>
      <w:r>
        <w:rPr>
          <w:rFonts w:ascii="Georgia" w:hAnsi="Georgia" w:cs="Georgia"/>
          <w:sz w:val="20"/>
          <w:szCs w:val="20"/>
        </w:rPr>
        <w:t xml:space="preserve"> la </w:t>
      </w:r>
      <w:r w:rsidRPr="004B3FCA">
        <w:rPr>
          <w:rFonts w:ascii="Georgia" w:hAnsi="Georgia" w:cs="Georgia"/>
          <w:sz w:val="20"/>
          <w:szCs w:val="20"/>
        </w:rPr>
        <w:t>Institución</w:t>
      </w:r>
      <w:r>
        <w:rPr>
          <w:rFonts w:ascii="Georgia" w:hAnsi="Georgia" w:cs="Georgia"/>
          <w:sz w:val="20"/>
          <w:szCs w:val="20"/>
        </w:rPr>
        <w:t>.</w:t>
      </w:r>
    </w:p>
    <w:p w:rsidR="00A5606E" w:rsidRPr="004B3FCA" w:rsidRDefault="00A5606E" w:rsidP="00A5606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5606E" w:rsidRPr="004B3FCA" w:rsidTr="00615E69">
        <w:trPr>
          <w:cantSplit/>
          <w:jc w:val="center"/>
        </w:trPr>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5606E" w:rsidRPr="004B3FCA" w:rsidRDefault="00A5606E" w:rsidP="00CB40A9">
      <w:pPr>
        <w:pStyle w:val="ROMANOS"/>
        <w:spacing w:line="240" w:lineRule="auto"/>
        <w:ind w:firstLine="0"/>
        <w:rPr>
          <w:rFonts w:ascii="Georgia" w:hAnsi="Georgia" w:cs="Georgia"/>
          <w:sz w:val="20"/>
          <w:szCs w:val="20"/>
        </w:rPr>
      </w:pPr>
    </w:p>
    <w:p w:rsidR="00CB40A9" w:rsidRPr="004B3FCA" w:rsidRDefault="00CB40A9" w:rsidP="0064306F">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E23F2" w:rsidRPr="004B3FCA">
        <w:rPr>
          <w:rFonts w:ascii="Georgia" w:hAnsi="Georgia" w:cs="Georgia"/>
          <w:b/>
          <w:bCs/>
          <w:sz w:val="20"/>
          <w:szCs w:val="20"/>
        </w:rPr>
        <w:t>CATÁLOGOS</w:t>
      </w:r>
    </w:p>
    <w:p w:rsidR="00CB40A9" w:rsidRPr="004B3FCA" w:rsidRDefault="00CB40A9" w:rsidP="00CB40A9">
      <w:pPr>
        <w:pStyle w:val="Texto"/>
        <w:spacing w:after="0" w:line="240" w:lineRule="auto"/>
        <w:ind w:firstLine="289"/>
        <w:rPr>
          <w:rFonts w:ascii="Georgia" w:hAnsi="Georgia" w:cs="Georgia"/>
          <w:b/>
          <w:bCs/>
          <w:sz w:val="20"/>
          <w:szCs w:val="20"/>
        </w:rPr>
      </w:pPr>
    </w:p>
    <w:p w:rsidR="00CB40A9" w:rsidRPr="004B3FCA" w:rsidRDefault="00CB40A9" w:rsidP="00CB40A9">
      <w:pPr>
        <w:pStyle w:val="Texto"/>
        <w:spacing w:after="70" w:line="240" w:lineRule="auto"/>
        <w:rPr>
          <w:rFonts w:ascii="Georgia" w:hAnsi="Georgia" w:cs="Georgia"/>
          <w:sz w:val="20"/>
          <w:szCs w:val="20"/>
        </w:rPr>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p w:rsidR="00CB40A9" w:rsidRDefault="00CB40A9"/>
    <w:sectPr w:rsidR="00CB40A9" w:rsidSect="00E55B78">
      <w:pgSz w:w="12247" w:h="158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9C" w:rsidRDefault="00FA749C" w:rsidP="00CB40A9">
      <w:r>
        <w:separator/>
      </w:r>
    </w:p>
  </w:endnote>
  <w:endnote w:type="continuationSeparator" w:id="0">
    <w:p w:rsidR="00FA749C" w:rsidRDefault="00FA749C" w:rsidP="00CB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9C" w:rsidRDefault="00FA749C" w:rsidP="00CB40A9">
      <w:r>
        <w:separator/>
      </w:r>
    </w:p>
  </w:footnote>
  <w:footnote w:type="continuationSeparator" w:id="0">
    <w:p w:rsidR="00FA749C" w:rsidRDefault="00FA749C" w:rsidP="00CB40A9">
      <w:r>
        <w:continuationSeparator/>
      </w:r>
    </w:p>
  </w:footnote>
  <w:footnote w:id="1">
    <w:p w:rsidR="00446B8D" w:rsidRDefault="00446B8D" w:rsidP="00CB40A9">
      <w:r w:rsidRPr="00890FE3">
        <w:rPr>
          <w:rStyle w:val="Refdenotaalpie"/>
        </w:rPr>
        <w:t>*</w:t>
      </w:r>
      <w:r w:rsidRPr="00383F3C">
        <w:rPr>
          <w:rFonts w:ascii="Arial" w:hAnsi="Arial" w:cs="Arial"/>
          <w:sz w:val="14"/>
          <w:szCs w:val="14"/>
        </w:rPr>
        <w:t>S/C.- Son los campos que para su captura no requieren de un catálogo.</w:t>
      </w:r>
    </w:p>
  </w:footnote>
  <w:footnote w:id="2">
    <w:p w:rsidR="00446B8D" w:rsidRDefault="00446B8D" w:rsidP="00CB40A9">
      <w:r w:rsidRPr="00ED53C9">
        <w:rPr>
          <w:rStyle w:val="Refdenotaalpie"/>
        </w:rPr>
        <w:t>*</w:t>
      </w:r>
      <w:r w:rsidRPr="00383F3C">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A9"/>
    <w:rsid w:val="00016A9B"/>
    <w:rsid w:val="000540BC"/>
    <w:rsid w:val="000767E9"/>
    <w:rsid w:val="0009669B"/>
    <w:rsid w:val="000C2681"/>
    <w:rsid w:val="000E7285"/>
    <w:rsid w:val="00116323"/>
    <w:rsid w:val="00152386"/>
    <w:rsid w:val="00254AE5"/>
    <w:rsid w:val="00263FF1"/>
    <w:rsid w:val="00277347"/>
    <w:rsid w:val="002C7ED4"/>
    <w:rsid w:val="002E01B0"/>
    <w:rsid w:val="00311831"/>
    <w:rsid w:val="00312864"/>
    <w:rsid w:val="00351259"/>
    <w:rsid w:val="00376D96"/>
    <w:rsid w:val="00383BE0"/>
    <w:rsid w:val="003E7885"/>
    <w:rsid w:val="003F49E3"/>
    <w:rsid w:val="00403FD2"/>
    <w:rsid w:val="004119DD"/>
    <w:rsid w:val="00432DB8"/>
    <w:rsid w:val="00446B8D"/>
    <w:rsid w:val="004611DC"/>
    <w:rsid w:val="004656DE"/>
    <w:rsid w:val="00471A96"/>
    <w:rsid w:val="00491B48"/>
    <w:rsid w:val="004D5C35"/>
    <w:rsid w:val="004F1AD4"/>
    <w:rsid w:val="0050625F"/>
    <w:rsid w:val="0055723C"/>
    <w:rsid w:val="005628AC"/>
    <w:rsid w:val="00584714"/>
    <w:rsid w:val="005F6138"/>
    <w:rsid w:val="00601573"/>
    <w:rsid w:val="006042F7"/>
    <w:rsid w:val="00615E69"/>
    <w:rsid w:val="0064306F"/>
    <w:rsid w:val="00661D1E"/>
    <w:rsid w:val="00695D93"/>
    <w:rsid w:val="006A7D1A"/>
    <w:rsid w:val="007144B1"/>
    <w:rsid w:val="0073195E"/>
    <w:rsid w:val="007517AC"/>
    <w:rsid w:val="007576A5"/>
    <w:rsid w:val="00764B76"/>
    <w:rsid w:val="00793DF9"/>
    <w:rsid w:val="007B541C"/>
    <w:rsid w:val="00815373"/>
    <w:rsid w:val="0081631C"/>
    <w:rsid w:val="00817E2B"/>
    <w:rsid w:val="008916E2"/>
    <w:rsid w:val="008E23F2"/>
    <w:rsid w:val="00931DFD"/>
    <w:rsid w:val="00953A55"/>
    <w:rsid w:val="009646FB"/>
    <w:rsid w:val="009C7599"/>
    <w:rsid w:val="00A45327"/>
    <w:rsid w:val="00A5606E"/>
    <w:rsid w:val="00A646F4"/>
    <w:rsid w:val="00A67FB4"/>
    <w:rsid w:val="00A81224"/>
    <w:rsid w:val="00A85A60"/>
    <w:rsid w:val="00AB09B3"/>
    <w:rsid w:val="00AC3CDD"/>
    <w:rsid w:val="00AC5B95"/>
    <w:rsid w:val="00B00D91"/>
    <w:rsid w:val="00B22AB9"/>
    <w:rsid w:val="00B34FB8"/>
    <w:rsid w:val="00B36753"/>
    <w:rsid w:val="00B6406E"/>
    <w:rsid w:val="00B869A2"/>
    <w:rsid w:val="00BB7D96"/>
    <w:rsid w:val="00C33DFF"/>
    <w:rsid w:val="00C64D77"/>
    <w:rsid w:val="00C82C78"/>
    <w:rsid w:val="00CA4242"/>
    <w:rsid w:val="00CB40A9"/>
    <w:rsid w:val="00CD54DC"/>
    <w:rsid w:val="00CF1BA0"/>
    <w:rsid w:val="00D07D5A"/>
    <w:rsid w:val="00D10AC6"/>
    <w:rsid w:val="00D816C1"/>
    <w:rsid w:val="00D867C1"/>
    <w:rsid w:val="00DD2BE3"/>
    <w:rsid w:val="00DE11B4"/>
    <w:rsid w:val="00DE6154"/>
    <w:rsid w:val="00DF02A4"/>
    <w:rsid w:val="00DF2AD1"/>
    <w:rsid w:val="00E145D8"/>
    <w:rsid w:val="00E34B61"/>
    <w:rsid w:val="00E55B78"/>
    <w:rsid w:val="00E73590"/>
    <w:rsid w:val="00E76CE9"/>
    <w:rsid w:val="00E916F3"/>
    <w:rsid w:val="00F140F4"/>
    <w:rsid w:val="00F316F6"/>
    <w:rsid w:val="00F3648D"/>
    <w:rsid w:val="00F46ACE"/>
    <w:rsid w:val="00F6484A"/>
    <w:rsid w:val="00F80774"/>
    <w:rsid w:val="00FA749C"/>
    <w:rsid w:val="00FB0C50"/>
    <w:rsid w:val="00FB2054"/>
    <w:rsid w:val="00FD461E"/>
    <w:rsid w:val="00FE7BE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B40A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B40A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B40A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B40A9"/>
    <w:rPr>
      <w:rFonts w:ascii="Arial" w:eastAsia="Times New Roman" w:hAnsi="Arial" w:cs="Arial"/>
      <w:sz w:val="18"/>
      <w:szCs w:val="18"/>
      <w:lang w:val="es-ES" w:eastAsia="es-ES"/>
    </w:rPr>
  </w:style>
  <w:style w:type="paragraph" w:customStyle="1" w:styleId="ANOTACION">
    <w:name w:val="ANOTACION"/>
    <w:basedOn w:val="Normal"/>
    <w:uiPriority w:val="99"/>
    <w:rsid w:val="00CB40A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B40A9"/>
    <w:rPr>
      <w:vertAlign w:val="superscript"/>
    </w:rPr>
  </w:style>
  <w:style w:type="paragraph" w:styleId="Textodeglobo">
    <w:name w:val="Balloon Text"/>
    <w:basedOn w:val="Normal"/>
    <w:link w:val="TextodegloboCar"/>
    <w:uiPriority w:val="99"/>
    <w:semiHidden/>
    <w:unhideWhenUsed/>
    <w:rsid w:val="00CB4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0A9"/>
    <w:rPr>
      <w:rFonts w:ascii="Tahoma" w:eastAsia="Times New Roman" w:hAnsi="Tahoma" w:cs="Tahoma"/>
      <w:sz w:val="16"/>
      <w:szCs w:val="16"/>
      <w:lang w:val="es-ES" w:eastAsia="es-ES"/>
    </w:rPr>
  </w:style>
  <w:style w:type="paragraph" w:styleId="Prrafodelista">
    <w:name w:val="List Paragraph"/>
    <w:basedOn w:val="Normal"/>
    <w:uiPriority w:val="34"/>
    <w:qFormat/>
    <w:rsid w:val="000C268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0C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3FD2"/>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B40A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B40A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B40A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B40A9"/>
    <w:rPr>
      <w:rFonts w:ascii="Arial" w:eastAsia="Times New Roman" w:hAnsi="Arial" w:cs="Arial"/>
      <w:sz w:val="18"/>
      <w:szCs w:val="18"/>
      <w:lang w:val="es-ES" w:eastAsia="es-ES"/>
    </w:rPr>
  </w:style>
  <w:style w:type="paragraph" w:customStyle="1" w:styleId="ANOTACION">
    <w:name w:val="ANOTACION"/>
    <w:basedOn w:val="Normal"/>
    <w:uiPriority w:val="99"/>
    <w:rsid w:val="00CB40A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B40A9"/>
    <w:rPr>
      <w:vertAlign w:val="superscript"/>
    </w:rPr>
  </w:style>
  <w:style w:type="paragraph" w:styleId="Textodeglobo">
    <w:name w:val="Balloon Text"/>
    <w:basedOn w:val="Normal"/>
    <w:link w:val="TextodegloboCar"/>
    <w:uiPriority w:val="99"/>
    <w:semiHidden/>
    <w:unhideWhenUsed/>
    <w:rsid w:val="00CB4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0A9"/>
    <w:rPr>
      <w:rFonts w:ascii="Tahoma" w:eastAsia="Times New Roman" w:hAnsi="Tahoma" w:cs="Tahoma"/>
      <w:sz w:val="16"/>
      <w:szCs w:val="16"/>
      <w:lang w:val="es-ES" w:eastAsia="es-ES"/>
    </w:rPr>
  </w:style>
  <w:style w:type="paragraph" w:styleId="Prrafodelista">
    <w:name w:val="List Paragraph"/>
    <w:basedOn w:val="Normal"/>
    <w:uiPriority w:val="34"/>
    <w:qFormat/>
    <w:rsid w:val="000C268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0C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3FD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ZUWP26PT267V-208-470</_dlc_DocId>
    <_dlc_DocIdUrl xmlns="fbb82a6a-a961-4754-99c6-5e8b59674839">
      <Url>https://www.cnsf.gob.mx/Sistemas/_layouts/15/DocIdRedir.aspx?ID=ZUWP26PT267V-208-470</Url>
      <Description>ZUWP26PT267V-208-470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E5AC2-C3F2-41DC-8748-930F708C4ADF}"/>
</file>

<file path=customXml/itemProps2.xml><?xml version="1.0" encoding="utf-8"?>
<ds:datastoreItem xmlns:ds="http://schemas.openxmlformats.org/officeDocument/2006/customXml" ds:itemID="{BD232D76-F688-4552-829E-0C398E607DE0}"/>
</file>

<file path=customXml/itemProps3.xml><?xml version="1.0" encoding="utf-8"?>
<ds:datastoreItem xmlns:ds="http://schemas.openxmlformats.org/officeDocument/2006/customXml" ds:itemID="{F98518D8-C3A4-4FF2-B88E-A12FB7924497}"/>
</file>

<file path=customXml/itemProps4.xml><?xml version="1.0" encoding="utf-8"?>
<ds:datastoreItem xmlns:ds="http://schemas.openxmlformats.org/officeDocument/2006/customXml" ds:itemID="{617CA304-6587-4016-A02E-97094FEE7090}"/>
</file>

<file path=docProps/app.xml><?xml version="1.0" encoding="utf-8"?>
<Properties xmlns="http://schemas.openxmlformats.org/officeDocument/2006/extended-properties" xmlns:vt="http://schemas.openxmlformats.org/officeDocument/2006/docPropsVTypes">
  <Template>Normal</Template>
  <TotalTime>101</TotalTime>
  <Pages>9</Pages>
  <Words>3302</Words>
  <Characters>18161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Incendio (Versión 01)</vt:lpstr>
    </vt:vector>
  </TitlesOfParts>
  <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(Versión 01)</dc:title>
  <dc:subject/>
  <dc:creator>NRojas</dc:creator>
  <cp:keywords/>
  <dc:description/>
  <cp:lastModifiedBy>Liz</cp:lastModifiedBy>
  <cp:revision>12</cp:revision>
  <dcterms:created xsi:type="dcterms:W3CDTF">2015-12-01T23:04:00Z</dcterms:created>
  <dcterms:modified xsi:type="dcterms:W3CDTF">2020-12-16T20:22:00Z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1bff0874-df54-457a-8186-513b2a57ee33</vt:lpwstr>
  </property>
</Properties>
</file>